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Standing Rule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CTM Financial Committee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Each year, CTM will establish a dedicated Financial Committee to support and oversee the Treasurer's work. This ensures a collaborative approach to financial oversight and strategic planning.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Composition of the Financial Committee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Financial Committee will include the following members: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 of CTM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Central figure in financial management and reporting.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 President of CTM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Provides leadership support and ensures alignment with CTM's broader objectives.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Neighborhood Support Program (NSP) Manager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Plans and tracks the expenses of the City of Cincinnati Grant.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Representative of the Chronicle Committee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Offers insights into funding needs and expenses specific to the Chronicle's operations.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Representative of the Off Ludlow Gallery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Addresses financial aspects of the gallery's events, exhibitions, and maintenance.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Representative of the Golf Outing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Focuses on the financial performance and planning of the annual fundraising event.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Representative of Clifton Community Fund and Clifton Business Association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Included if CTM benefits from grants provided by these organizations.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In addition to the above, other members may include additional CTM Board members with relevant expertise or interest.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Responsibilities of the Financial Committee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 committee is tasked with the following responsibilities: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Budget Recommendations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Collaboratively develops and recommends an annual budget to the President and Treasurer, ensuring alignment with CTM's priorities and financial goals.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Quarterly Budget Reviews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Meets quarterly to review the year-to-date budget tracking, addressing any variances, and ensuring financial discipline.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Income and Expenditure Forecasts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Regularly forecasts income streams and expenditure patterns to anticipate challenges and identify opportunities for resource optimization.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Yearly Review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The Financial Committee provides a yearly review of finances and creates a report for the annual meeting.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Tax Preparation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Works with the paid accountant to file taxes for CTM.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The monthly Treasurer reports will serve as the minutes of the Finance Committee meetings.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Overall Purpose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The Financial Committee plays a crucial role in fostering financial transparency, accountability, and strategic decision-making within CTM. By leveraging the collective expertise of its members, the committee ensures that CTM maintains financial health and continues to achieve its mission effectively.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264C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264C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264C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264C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264C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264C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264C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264C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264C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264C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264C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264C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264C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264C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264C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264C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264C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264C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264C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64C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264C5"/>
    <w:rPr>
      <w:b w:val="1"/>
      <w:bCs w:val="1"/>
      <w:smallCaps w:val="1"/>
      <w:color w:val="0f4761" w:themeColor="accent1" w:themeShade="0000BF"/>
      <w:spacing w:val="5"/>
    </w:rPr>
  </w:style>
  <w:style w:type="paragraph" w:styleId="NoSpacing">
    <w:name w:val="No Spacing"/>
    <w:uiPriority w:val="1"/>
    <w:qFormat w:val="1"/>
    <w:rsid w:val="00F264C5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qGkV2yZXyglhjH6JNVbsnfys8A==">CgMxLjA4AHIhMVdCbXdYQXloeFdTSmpYWlY1cW5NRkVFTEVkMXd6eUpF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2025-06-17T17:12:00Z</dcterms:created>
  <dc:creator>Gerald Checco</dc:creator>
</cp:coreProperties>
</file>